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85" w:rsidRPr="00082A85" w:rsidRDefault="00082A85" w:rsidP="00082A85">
      <w:pPr>
        <w:spacing w:before="100" w:beforeAutospacing="1" w:after="100" w:afterAutospacing="1" w:line="240" w:lineRule="auto"/>
        <w:jc w:val="center"/>
        <w:outlineLvl w:val="0"/>
        <w:rPr>
          <w:rStyle w:val="Gl"/>
          <w:rFonts w:ascii="MyriadPro" w:eastAsia="Times New Roman" w:hAnsi="MyriadPro" w:cs="Times New Roman"/>
          <w:color w:val="505050"/>
          <w:kern w:val="36"/>
          <w:sz w:val="45"/>
          <w:szCs w:val="45"/>
          <w:lang w:eastAsia="tr-TR"/>
        </w:rPr>
      </w:pPr>
      <w:r w:rsidRPr="00082A85">
        <w:rPr>
          <w:rFonts w:ascii="MyriadPro" w:eastAsia="Times New Roman" w:hAnsi="MyriadPro" w:cs="Times New Roman"/>
          <w:b/>
          <w:bCs/>
          <w:color w:val="505050"/>
          <w:kern w:val="36"/>
          <w:sz w:val="45"/>
          <w:szCs w:val="45"/>
          <w:lang w:eastAsia="tr-TR"/>
        </w:rPr>
        <w:t>ÖĞRENCİ DAVRANIŞLARININ DEĞERLENDİRİLMESİ İLE İLGİLİ YÖNETMELİK</w:t>
      </w:r>
    </w:p>
    <w:p w:rsidR="00082A85" w:rsidRDefault="00082A85" w:rsidP="00082A85">
      <w:pPr>
        <w:pStyle w:val="3-normalyaz"/>
        <w:spacing w:before="0" w:after="0" w:line="240" w:lineRule="atLeast"/>
        <w:jc w:val="center"/>
        <w:rPr>
          <w:rFonts w:ascii="MyriadPro" w:hAnsi="MyriadPro"/>
          <w:color w:val="212529"/>
        </w:rPr>
      </w:pPr>
      <w:r>
        <w:rPr>
          <w:rStyle w:val="Gl"/>
          <w:rFonts w:ascii="MyriadPro" w:hAnsi="MyriadPro"/>
          <w:color w:val="212529"/>
        </w:rPr>
        <w:t>Öğrenci Davranışlarının Değerlendirilmesi</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Ödüllendirme</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51 –</w:t>
      </w:r>
      <w:r>
        <w:rPr>
          <w:rStyle w:val="apple-converted-space"/>
          <w:rFonts w:ascii="MyriadPro" w:hAnsi="MyriadPro"/>
          <w:b/>
          <w:bCs/>
          <w:color w:val="212529"/>
        </w:rPr>
        <w:t> </w:t>
      </w:r>
      <w:r>
        <w:rPr>
          <w:rFonts w:ascii="MyriadPro" w:hAnsi="MyriadPro"/>
          <w:color w:val="212529"/>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Öğrenci davranışlarının kaynağının belirlenmesi için gerektiğinde rehberlik ve araştırma merkezi ve ilgili diğer kurumlarla iş birliği yapılır.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Öğrencilerden beklenen davranışlar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52 –</w:t>
      </w:r>
      <w:r>
        <w:rPr>
          <w:rStyle w:val="apple-converted-space"/>
          <w:rFonts w:ascii="MyriadPro" w:hAnsi="MyriadPro"/>
          <w:color w:val="212529"/>
        </w:rPr>
        <w:t> </w:t>
      </w:r>
      <w:r>
        <w:rPr>
          <w:rFonts w:ascii="MyriadPro" w:hAnsi="MyriadPro"/>
          <w:color w:val="212529"/>
        </w:rPr>
        <w:t>(1) Öğrencilerden;</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Okula ve derslere düzenli devam etmeleri ve başarılı olmaları,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Okul personeline, arkadaşlarına ve çevresindeki kişilere karşı saygılı ve hoşgörülü davranmaları,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Doğru sözlü ve dürüst olmaları,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ç) İyi ve nazik tavırlı olmaları,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d) Okulda yapılacak sosyal ve kültürel etkinliklere katılmaları,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e) Kitap okuma alışkanlığını kazanmaları,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f) Çevrenin doğal ve tarihî güzelliklerini, sanat eserlerini korumaları ve onları geliştirmek için katkıda bulunmaları,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g) İyi işler başarmak için çok çalışmaya ve zamana muhtaç olduklarını unutmamaları, geçen zamanın geri gelmeyeceğinin bilincinde olmaları,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ğ) Millet malını, okulunu ve eşyasını kendi öz malı gibi korumaları,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h) Sigara, içki ve diğer bağımlılık yapan maddeleri kullanmamaları ve bu maddelerin kullanıldığı ortamlardan uzak durmaları,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ı) Bilişim araçlarını kişisel, toplumsal ve eğitsel yararlar doğrultusunda kullanmaları,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i) Ülkenin birliğini ve bütünlüğünü bozan bölücü, yıkıcı, siyasi amaçlı etkinliklere katılmamaları, siyasi amaçlı sembol kullanmamaları, bunlarla ilgili amblem, afiş, rozet ve </w:t>
      </w:r>
      <w:r>
        <w:rPr>
          <w:rFonts w:ascii="MyriadPro" w:hAnsi="MyriadPro"/>
          <w:color w:val="212529"/>
        </w:rPr>
        <w:lastRenderedPageBreak/>
        <w:t>benzerlerini taşımamaları, bulundurmamaları ve dağıtmamaları, siyasi amaçlı davranışlarla okulun huzurunu bozmamaları,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j) Fiziksel, zihinsel ve duygusal güçlerini millet, yurt ve insanlık için yararlı bir şekilde kullanmaları,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k) Atatürk İlke ve İnkılâplarına bağlı kalmaları, bunun aksi davranışlarda bulunmamaları,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l) Yasalara, yönetmeliklere ve toplumun etik kurallarına, millî, manevi ve kültürel değerlere uymaları</w:t>
      </w:r>
    </w:p>
    <w:p w:rsidR="00082A85" w:rsidRDefault="00082A85" w:rsidP="00082A85">
      <w:pPr>
        <w:pStyle w:val="3-normalyaz"/>
        <w:spacing w:line="240" w:lineRule="atLeast"/>
        <w:ind w:firstLine="566"/>
        <w:rPr>
          <w:rFonts w:ascii="MyriadPro" w:hAnsi="MyriadPro"/>
          <w:color w:val="212529"/>
        </w:rPr>
      </w:pPr>
      <w:proofErr w:type="gramStart"/>
      <w:r>
        <w:rPr>
          <w:rFonts w:ascii="MyriadPro" w:hAnsi="MyriadPro"/>
          <w:color w:val="212529"/>
        </w:rPr>
        <w:t>beklenir</w:t>
      </w:r>
      <w:proofErr w:type="gramEnd"/>
      <w:r>
        <w:rPr>
          <w:rFonts w:ascii="MyriadPro" w:hAnsi="MyriadPro"/>
          <w:color w:val="212529"/>
        </w:rPr>
        <w:t>.</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Uyulması gereken kuralların ve beklenen davranışların; derslerde, törenlerde, toplantılarda, rehberlik çalışmalarında ve her türlü sosyal etkinliklerde öğrencilere kazandırılmasına çalışılır.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Okul yönetimi, yukarıdaki hususlar ve bunlara uyulmaması durumunda ortaokul ve imam-hatip ortaokulu öğrencilerinin karşılaşabilecekleri yaptırım işlemleriyle ilgili olarak kendilerini ve velilerini bilgilendirir.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Ödüller ve ödüllerin verilmesi</w:t>
      </w:r>
    </w:p>
    <w:p w:rsidR="00082A85" w:rsidRDefault="00082A85" w:rsidP="00082A85">
      <w:pPr>
        <w:pStyle w:val="3-normalyaz"/>
        <w:spacing w:before="0" w:after="0" w:line="240" w:lineRule="atLeast"/>
        <w:ind w:firstLine="566"/>
        <w:rPr>
          <w:rFonts w:ascii="MyriadPro" w:hAnsi="MyriadPro"/>
          <w:color w:val="212529"/>
        </w:rPr>
      </w:pPr>
      <w:proofErr w:type="gramStart"/>
      <w:r>
        <w:rPr>
          <w:rStyle w:val="Gl"/>
          <w:rFonts w:ascii="MyriadPro" w:hAnsi="MyriadPro"/>
          <w:color w:val="212529"/>
        </w:rPr>
        <w:t>MADDE 53 –</w:t>
      </w:r>
      <w:r>
        <w:rPr>
          <w:rStyle w:val="apple-converted-space"/>
          <w:rFonts w:ascii="MyriadPro" w:hAnsi="MyriadPro"/>
          <w:color w:val="212529"/>
        </w:rPr>
        <w:t> </w:t>
      </w:r>
      <w:r>
        <w:rPr>
          <w:rFonts w:ascii="MyriadPro" w:hAnsi="MyriadPro"/>
          <w:color w:val="212529"/>
        </w:rPr>
        <w:t>(1)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İlköğretim kurumlarının tüm sınıflarında derslerindeki başarı durumuna bakılmaksızın;</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Ulusal ve uluslararası yarışmalara katılarak ilk beş dereceye giren,</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Çeşitli sosyal, kültürel ve sanatsal etkinliklerde üstün başarı gösteren öğrenciler "İftihar Belgesi" EK-8 ile ödüllendirilir.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İftihar Belgesi, ilkokullarda sınıf öğretmeninin teklifi ve okul yönetiminin kararı doğrultusunda, ortaokul ve imam-hatip ortaokullarında ise öğrenci davranışlarını değerlendirme kurulunca verilir.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lastRenderedPageBreak/>
        <w:t>Öğrencilerin olumsuz davranışları ve uygulanacak yaptırımlar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54 –</w:t>
      </w:r>
      <w:r>
        <w:rPr>
          <w:rStyle w:val="apple-converted-space"/>
          <w:rFonts w:ascii="MyriadPro" w:hAnsi="MyriadPro"/>
          <w:color w:val="212529"/>
        </w:rPr>
        <w:t> </w:t>
      </w:r>
      <w:r>
        <w:rPr>
          <w:rFonts w:ascii="MyriadPro" w:hAnsi="MyriadPro"/>
          <w:color w:val="212529"/>
        </w:rPr>
        <w:t>(1) Ortaokul ve imam-hatip ortaokulu öğrencilerine, olumsuz davranışlarının özelliğine göre uyarma, kınama ve okul değiştirme yaptırımlarından biri uygulanır.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Yaptırımların uygulanmasındaki amaç caydırıcı olması, toplum düzeninin korunması, öğrencinin yaptığı olumsuz davranışlarının farkına vararak bu davranışlarının olumlu yönde düzeltilmesini sağlamaktır.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Yaptırım gerektiren davranışlar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55 –</w:t>
      </w:r>
      <w:r>
        <w:rPr>
          <w:rStyle w:val="apple-converted-space"/>
          <w:rFonts w:ascii="MyriadPro" w:hAnsi="MyriadPro"/>
          <w:color w:val="212529"/>
        </w:rPr>
        <w:t> </w:t>
      </w:r>
      <w:r>
        <w:rPr>
          <w:rFonts w:ascii="MyriadPro" w:hAnsi="MyriadPro"/>
          <w:color w:val="212529"/>
        </w:rPr>
        <w:t>(1) Yaptırım gerektiren davranışlar aşağıda belirtilmiştir.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Uyarma yaptırımını gerektiren davranışlar: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 Derse ve diğer etkinliklere vaktinde gelmemek ve geçerli bir neden olmaksızın bu davranışı tekrar etmek,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Okula özürsüz devamsızlığını, özür bildirim formu ya da raporla belgelendirmemek, bunu alışkanlık hâline getirmek, okul yönetimi tarafından verilen izin süresini özürsüz uzatmak,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Yatılı bölge ortaokullarında öğrenci dolaplarını amacı dışında kullanmak, yasaklanmış malzemeyi dolapta bulundurmak ve yönetime bilgi vermeden dolabını başka arkadaşına devretmek,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4) Okula, yönetimce yasaklanmış malzeme getirmek ve bunları kullanmak,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5) Yalan söylemek,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6) Duvarları, sıraları ve okul çevresini kirletmek,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7) Görgü kurallarına uymamak,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8) Okul kütüphanesinden veya </w:t>
      </w:r>
      <w:proofErr w:type="spellStart"/>
      <w:r>
        <w:rPr>
          <w:rFonts w:ascii="MyriadPro" w:hAnsi="MyriadPro"/>
          <w:color w:val="212529"/>
        </w:rPr>
        <w:t>laboratuvarlardan</w:t>
      </w:r>
      <w:proofErr w:type="spellEnd"/>
      <w:r>
        <w:rPr>
          <w:rFonts w:ascii="MyriadPro" w:hAnsi="MyriadPro"/>
          <w:color w:val="212529"/>
        </w:rPr>
        <w:t xml:space="preserve"> aldığı kitap, araç, gereç ve malzemeyi zamanında teslim etmemek veya geri vermemek,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9) Derslerde cep telefonunu açık bulundurmak.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Kınama yaptırımını gerektiren davranışlar: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 Yöneticilere, öğretmenlere, görevlilere ve arkadaşlarına kaba ve saygısız davranmak,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Okulun kurallarını dikkate almayarak kuralları ve ders ortamını bozmak, ders ve ders dışı etkinliklerin yapılmasını engellemek,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Okul yönetimini yanlış bilgilendirmek, yalan söylemeyi alışkanlık hâline getirmek,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lastRenderedPageBreak/>
        <w:t>4) Okulda bulunduğu hâlde törenlere özürsüz olarak katılmamak ve törenlerde uygun olmayan davranışlarda bulunmak,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5) Okulda ya da okul dışında sigara içmek,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6) Resmî evrakta değişiklik yapmak,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7) Okulda kavga etmek,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8) Okul içinde izinsiz görüntü ve ses kaydetmek,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9) Başkasının malını haberi olmadan almak,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10) Okulun ve öğrencilerin eşya, araç ve gerecine kasıtlı olarak zarar vermek,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11) Dersin veya ders dışı faaliyetlerin akışını ve düzenini bozacak davranışlarda bulunmak,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12) Okul ile ilgili mekân ve malzemeyi izinsiz ve eğitimin amaçları dışında kullanmak,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13) Yatılı bölge ortaokullarında, izinsiz olarak okulu terk etmek ve gece dışarıda kalmak,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14) Sınavda kopya çekmek veya kopya vermek.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Okul Değiştirme yaptırımını gerektiren davranışlar: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 Anayasanın başlangıcında belirtilen temel ilkelere dayalı millî, demokratik, lâik, sosyal ve hukuk devleti niteliklerine aykırı davranışlarda bulunmak veya başkalarını da bu tür davranışlara zorlamak,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Sarkıntılık, hakaret, iftira, tehdit ve taciz etmek veya başkalarını bu gibi davranışlara kışkırtmak,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Okula yaralayıcı, öldürücü aletler getirmek ve bunları bulundurmak,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4) Okul ve çevresinde kasıtlı olarak yangın çıkarmak,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5) Okul ile ilgili mekân ve malzemeyi izinsiz ve eğitim amaçları dışında kullanmayı alışkanlık hâline getirmek,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6) Okul içinde ve dışında; siyasi parti ve sendikaların propagandasını yapmak ve bunlarla ilgili eylemlere katılmak,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7) Herhangi bir kurum ve örgüt adına yardım ve para toplamak,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8) Kişi veya grupları dil, ırk, cinsiyet, siyasi düşünce ve inançlarına göre ayırmak, kınamak, kötülemek ve bu tür eylemlere katılmak,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9) Başkasının malına zarar vermek, haberi olmadan almayı alışkanlık hâline getirmek,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lastRenderedPageBreak/>
        <w:t>10) Okulun bina, eklenti ve donanımlarını, taşınır ve taşınmaz mallarını kasıtlı olarak tahrip etmeyi alışkanlık hâline getirmek,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11) Okula, derslere, sınavlara girilmesine, derslerin ve sınavların sağlıklı yapılmasına engel olmak,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12) Okul içinde ve dışında okul yöneticilerine, öğretmenlere ve diğer personele ve arkadaşlarına şiddet uygulamak ve saldırıda bulunmak, bu gibi hareketleri düzenlemek veya kışkırtmak,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13) Yatılı bölge ortaokullarında, gece izinsiz olarak dışarıda kalmayı alışkanlık hâline getirmek,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14) Okul ile ilişiği olmayan kişileri okulda veya okula ait yerlerde barındırmak,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15) Kendi yerine başkasının sınava girmesini sağlamak, başkasının yerine sınava girmek,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16) Alkol veya bağımlılık yapan maddeleri kullanmak veya başkalarını kullanmaya teşvik etmek,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17) Kılık ve kıyafetle ilgili kurallara uymamakta ısrar etmek.</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Yaptırım takdirinde dikkat edilecek hususlar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56 –</w:t>
      </w:r>
      <w:r>
        <w:rPr>
          <w:rStyle w:val="apple-converted-space"/>
          <w:rFonts w:ascii="MyriadPro" w:hAnsi="MyriadPro"/>
          <w:color w:val="212529"/>
        </w:rPr>
        <w:t> </w:t>
      </w:r>
      <w:r>
        <w:rPr>
          <w:rFonts w:ascii="MyriadPro" w:hAnsi="MyriadPro"/>
          <w:color w:val="212529"/>
        </w:rPr>
        <w:t>(1) Yaptırım takdir edilmesinde öğrencinin;</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Davranışın niteliği, önemi ve ne gibi şartlarda gerçekleştiği, o andaki psikolojik durumu ve kişisel özellikleri,</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Okul içinde ve dışındaki genel durumu,</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Yaş ve cinsiyeti,</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ç) Derslerdeki ilgi ve başarısı,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d) Okuldaki sosyal ve kültürel faaliyetlere katılım ve başarı durumu,</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e) Aynı eğitim ve öğretim yılı içinde daha önce yaptırım uygulanıp uygulanmadığına</w:t>
      </w:r>
    </w:p>
    <w:p w:rsidR="00082A85" w:rsidRDefault="00082A85" w:rsidP="00082A85">
      <w:pPr>
        <w:pStyle w:val="3-normalyaz"/>
        <w:spacing w:line="240" w:lineRule="atLeast"/>
        <w:ind w:firstLine="566"/>
        <w:rPr>
          <w:rFonts w:ascii="MyriadPro" w:hAnsi="MyriadPro"/>
          <w:color w:val="212529"/>
        </w:rPr>
      </w:pPr>
      <w:proofErr w:type="gramStart"/>
      <w:r>
        <w:rPr>
          <w:rFonts w:ascii="MyriadPro" w:hAnsi="MyriadPro"/>
          <w:color w:val="212529"/>
        </w:rPr>
        <w:t>dikkat</w:t>
      </w:r>
      <w:proofErr w:type="gramEnd"/>
      <w:r>
        <w:rPr>
          <w:rFonts w:ascii="MyriadPro" w:hAnsi="MyriadPro"/>
          <w:color w:val="212529"/>
        </w:rPr>
        <w:t xml:space="preserve"> edilir.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(2) Öğrenciye </w:t>
      </w:r>
      <w:proofErr w:type="gramStart"/>
      <w:r>
        <w:rPr>
          <w:rFonts w:ascii="MyriadPro" w:hAnsi="MyriadPro"/>
          <w:color w:val="212529"/>
        </w:rPr>
        <w:t>3/7/2005</w:t>
      </w:r>
      <w:proofErr w:type="gramEnd"/>
      <w:r>
        <w:rPr>
          <w:rFonts w:ascii="MyriadPro" w:hAnsi="MyriadPro"/>
          <w:color w:val="212529"/>
        </w:rPr>
        <w:t xml:space="preserve"> tarihli ve 5395 sayılı Çocuk Koruma Kanunu hükümleri göz önünde bulundurularak olumsuz davranışına uygun yaptırım veya bir alt yaptırım takdir edilebilir.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Tutuklu veya gözetim altında bulunan öğrencilerin savunmaları, il/ilçe millî eğitim müdürlüklerince ilgili makamlara müracaat edilerek alınır.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lastRenderedPageBreak/>
        <w:t>(4) Uyarma ve kınama yaptırımı, öğrenci davranışlarını değerlendirme kurulu tarafından verilir.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(5) Aynı olumsuz davranıştan dolayı birden fazla yaptırım uygulanamaz.</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(6) Uyarma ve kınama yaptırımı okul müdürünün, okul değiştirme yaptırımı ise ilçe öğrenci davranışlarını değerlendirme kurulunun onayından sonra uygulanır.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(7) Okul değiştirme yaptırımı uygulanan öğrenciye yerleşim biriminde nakil gidebileceği başka bir ortaokul olmadığı takdirde kınama yaptırımı uygulanır.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(8) Okul değiştirme yaptırımı uygulanan öğrenci, ilgili okul müdürlüğü ve il/ilçe millî eğitim müdürlüğünün olumlu görüşlerinin alınması şartıyla eğitim ve öğretim yılı sonunda önceki okuluna dönebilir.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(9) İlçe öğrenci davranışlarını değerlendirme kurulunda görüşülmesi gereken dosyalar en geç bir hafta içinde bu kurula gönderilir.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(10) Kınama ve okul değiştirme yaptırımlarından birini alan öğrenciye o eğitim ve öğretim yılı içinde teşekkür, takdir ve onur belgesi verilmez.</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(11) Öğrenci velisi, öğrenci hakkında verilen kararlara karşı tebliğ tarihinden itibaren beş iş günü içinde okul müdürlüğüne itirazda bulunabilir.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(12) Okul müdürü, okul değiştirme yaptırımı ile ilgili itiraz dilekçesini ve dilekçede belirtilen itiraz gerekçeleri hakkındaki görüşlerini, bu Yönetmeliğin 73 üncü maddesindeki belgeler ile birlikte dilekçenin okul yönetimine verildiği tarihten itibaren beş iş günü içinde ilçe öğrenci davranışlarını değerlendirme kuruluna gönderir. İtiraz işlemleri sonuçlanıncaya kadar yaptırım uygulanmaz.</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(13) Yaptırımlar, e-Okul sistemindeki öğrenci bilgileri bölümüne işlenir.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Öğrenci davranışlarını değerlendirme kurulu</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57 –</w:t>
      </w:r>
      <w:r>
        <w:rPr>
          <w:rStyle w:val="apple-converted-space"/>
          <w:rFonts w:ascii="MyriadPro" w:hAnsi="MyriadPro"/>
          <w:color w:val="212529"/>
        </w:rPr>
        <w:t> </w:t>
      </w:r>
      <w:r>
        <w:rPr>
          <w:rFonts w:ascii="MyriadPro" w:hAnsi="MyriadPro"/>
          <w:color w:val="212529"/>
        </w:rPr>
        <w:t>(1) Ortaokul ve imam-hatip ortaokullarında öğrencilerin ilgi, istek, yetenek ve ihtiyaçlarını belirleyerek olumlu davranışlar kazanmaları ve olumsuz davranışların önlenmesi için öğrenci davranışlarını değerlendirme kurulu oluşturulur.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Öğrenci davranışlarını değerlendirme kurulu;</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Varsa müdür başyardımcısı veya müdürün görevlendireceği müdür yardımcısı,</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Her ders yılının ilk öğretmenler kurulu toplantısında öğretmenler kurulunca gizli oyla seçilecek üç öğretmen,</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Okul-aile birliğinin kendi üyeleri arasından seçeceği bir öğrenci velisinden</w:t>
      </w:r>
    </w:p>
    <w:p w:rsidR="00082A85" w:rsidRDefault="00082A85" w:rsidP="00082A85">
      <w:pPr>
        <w:pStyle w:val="3-normalyaz"/>
        <w:spacing w:line="240" w:lineRule="atLeast"/>
        <w:ind w:firstLine="566"/>
        <w:rPr>
          <w:rFonts w:ascii="MyriadPro" w:hAnsi="MyriadPro"/>
          <w:color w:val="212529"/>
        </w:rPr>
      </w:pPr>
      <w:proofErr w:type="gramStart"/>
      <w:r>
        <w:rPr>
          <w:rFonts w:ascii="MyriadPro" w:hAnsi="MyriadPro"/>
          <w:color w:val="212529"/>
        </w:rPr>
        <w:t>oluşturulur</w:t>
      </w:r>
      <w:proofErr w:type="gramEnd"/>
      <w:r>
        <w:rPr>
          <w:rFonts w:ascii="MyriadPro" w:hAnsi="MyriadPro"/>
          <w:color w:val="212529"/>
        </w:rPr>
        <w:t>.</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lastRenderedPageBreak/>
        <w:t>(3) Yeterli sayıda öğretmen bulunmaması hâlinde aday öğretmenlerle sözleşmeli ve ücretli öğretmenler de öğrenci davranışlarını değerlendirme kuruluna üye seçilebilir.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(4) Yapılan seçimde oyların eşit olması hâlinde seçim yenilenir. Bu durumda da eşitlik bozulmazsa, kıdemi fazla olan öğretmen üye seçilmiş sayılır. Kıdemlerin de yıl olarak eşitliği hâlinde kuraya başvurulur.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(5) Öğrenci davranışlarını değerlendirme kuruluna, aldıkları oy sırasına göre asıl üyelerden sonra üç yedek üye seçilir. Asıl üyenin mazereti sebebiyle bulunmaması durumunda bu üyelik, sıraya göre yedek üyelerle doldurulur.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(6) Öğrenci davranışlarını değerlendirme kurulunun görevi, yeni kurul oluşuncaya kadar devam eder. Üyeler, kabul edilebilir bir özrü bulunmadıkça görevden ayrılamaz.</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(7) İkili eğitim yapılan okullarda, ayrı </w:t>
      </w:r>
      <w:proofErr w:type="spellStart"/>
      <w:r>
        <w:rPr>
          <w:rFonts w:ascii="MyriadPro" w:hAnsi="MyriadPro"/>
          <w:color w:val="212529"/>
        </w:rPr>
        <w:t>ayrı</w:t>
      </w:r>
      <w:proofErr w:type="spellEnd"/>
      <w:r>
        <w:rPr>
          <w:rFonts w:ascii="MyriadPro" w:hAnsi="MyriadPro"/>
          <w:color w:val="212529"/>
        </w:rPr>
        <w:t xml:space="preserve"> öğrenci davranışlarını değerlendirme kurulu oluşturulabilir.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(8) Öğrenci davranışlarını değerlendirme kurulu toplantılarına, ihtiyaç duyulması hâlinde okulun rehber öğretmeni de katılır. Ancak oy kullanamaz.</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Öğrenci davranışlarını değerlendirme kurulunun görevleri</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58 –</w:t>
      </w:r>
      <w:r>
        <w:rPr>
          <w:rStyle w:val="apple-converted-space"/>
          <w:rFonts w:ascii="MyriadPro" w:hAnsi="MyriadPro"/>
          <w:color w:val="212529"/>
        </w:rPr>
        <w:t> </w:t>
      </w:r>
      <w:r>
        <w:rPr>
          <w:rFonts w:ascii="MyriadPro" w:hAnsi="MyriadPro"/>
          <w:color w:val="212529"/>
        </w:rPr>
        <w:t>(1) Öğrenci davranışlarını değerlendirme kurulunun görevleri şunlardır;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Okulda örnek davranışlarda bulunan, derslerde başarılı olan, bilimsel, sanatsal, sosyal, kültürel ve sportif etkinliklere katılarak üstün başarı gösteren öğrencileri belirleyerek ödüllendirilmelerine karar vermek,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ç) Öğrencilerin gösterdikleri olumsuz davranışlarıyla ilgili olarak okul rehberlik ve psikolojik danışma servisi ile eş güdüm içerisinde çalışmak,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d) Öğrencilerde görülen olumsuz davranışların, olumlu hâle getirilmesinde yaptırım yerine çatışma çözme, arabuluculuk ve benzeri çözüm yöntemlerini kullanmak,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e) Öğrencilerin olumlu davranış kazanmalarına katkıda bulunmak, zararlı alışkanlıklardan korunmaları için veli ve çevre ile iş birliği yapmak,</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f) Okul müdürünün havale ettiği olumsuz davranışlarla ilgili olayları incelemek ve karara bağlamak.</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Öğrenci davranışlarını değerlendirme kurulunun çalışması</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lastRenderedPageBreak/>
        <w:t>MADDE 59 –</w:t>
      </w:r>
      <w:r>
        <w:rPr>
          <w:rStyle w:val="apple-converted-space"/>
          <w:rFonts w:ascii="MyriadPro" w:hAnsi="MyriadPro"/>
          <w:color w:val="212529"/>
        </w:rPr>
        <w:t> </w:t>
      </w:r>
      <w:r>
        <w:rPr>
          <w:rFonts w:ascii="MyriadPro" w:hAnsi="MyriadPro"/>
          <w:color w:val="212529"/>
        </w:rPr>
        <w:t>(1) Öğrenci davranışlarını değerlendirme kurulu, başkanın ya da üyelerin yarısından bir fazlasının isteği üzerine toplanır.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Kurul, kendisine ulaştırılan görüş ve önerileri en geç beş iş günü içinde inceleyip değerlendirir. Alınan kararlar, karar defterine kayıt edilir ve uygulanmak üzere en geç iki iş günü içinde okul müdürlüğüne bildirilir.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İfadelerin alınması,  kanıtların toplanması ve kararların yazılması</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60 –</w:t>
      </w:r>
      <w:r>
        <w:rPr>
          <w:rStyle w:val="apple-converted-space"/>
          <w:rFonts w:ascii="MyriadPro" w:hAnsi="MyriadPro"/>
          <w:color w:val="212529"/>
        </w:rPr>
        <w:t> </w:t>
      </w:r>
      <w:r>
        <w:rPr>
          <w:rFonts w:ascii="MyriadPro" w:hAnsi="MyriadPro"/>
          <w:color w:val="212529"/>
        </w:rPr>
        <w:t>(1) Öğrenci davranışlarını değerlendirme kuruluna sevk edilen öğrenci ile tanıkların ifadeleri kurul başkanı tarafından alınır ve tutanakla tespit edilir.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(5) Kararların yazılmasından, imzalatılıp okul müdürüne sunulmasından, karar defterinin saklanmasından ve diğer okul içi yazışma işlemlerinden kurul başkanı sorumludur.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İlçe öğrenci davranışlarını değerlendirme kuruluna gönderme</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61 –</w:t>
      </w:r>
      <w:r>
        <w:rPr>
          <w:rStyle w:val="apple-converted-space"/>
          <w:rFonts w:ascii="MyriadPro" w:hAnsi="MyriadPro"/>
          <w:color w:val="212529"/>
        </w:rPr>
        <w:t> </w:t>
      </w:r>
      <w:r>
        <w:rPr>
          <w:rFonts w:ascii="MyriadPro" w:hAnsi="MyriadPro"/>
          <w:color w:val="212529"/>
        </w:rPr>
        <w:t>(1) Okul müdürü, okul öğrenci davranışlarını değerlendirme kurulunca verilen okul değiştirme yaptırımına ilişkin dosyayı en geç beş iş günü içinde ilçe öğrenci davranışlarını değerlendirme kuruluna gönderir.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Onay veya karara itiraz için gönderilecek dosyada aşağıdaki belgeler bulunur: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Yazılı ifadeler, savunma, varsa mahkeme kararı ve soruşturma ile ilgili diğer belgeler,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b) Öğrenci davranışlarını değerlendirme kurulu kararı onaylı örneği EK-10,</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lastRenderedPageBreak/>
        <w:t>c) İtiraz edilmişse buna ilişkin belgeler,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ç) Kararların bildirildiğine ilişkin tebellüğ belgesi.</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Kararların uygulanması, dosyalara işlenmesi ve silinmesi</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62 –</w:t>
      </w:r>
      <w:r>
        <w:rPr>
          <w:rStyle w:val="apple-converted-space"/>
          <w:rFonts w:ascii="MyriadPro" w:hAnsi="MyriadPro"/>
          <w:color w:val="212529"/>
        </w:rPr>
        <w:t> </w:t>
      </w:r>
      <w:r>
        <w:rPr>
          <w:rFonts w:ascii="MyriadPro" w:hAnsi="MyriadPro"/>
          <w:color w:val="212529"/>
        </w:rPr>
        <w:t>(1) Kurulca verilen uyarma ve kınama yaptırımları, okul müdürünün onayı ile sonuçlandırılır.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(2) Okul değiştirme yaptırımı, ilçe öğrenci davranışlarını değerlendirme kurulunun onayından sonra veli okula çağırılarak tebliğ edilir ve uygulanır. Velinin çağrıya uymaması durumunda, </w:t>
      </w:r>
      <w:proofErr w:type="gramStart"/>
      <w:r>
        <w:rPr>
          <w:rFonts w:ascii="MyriadPro" w:hAnsi="MyriadPro"/>
          <w:color w:val="212529"/>
        </w:rPr>
        <w:t>11/2/1959</w:t>
      </w:r>
      <w:proofErr w:type="gramEnd"/>
      <w:r>
        <w:rPr>
          <w:rFonts w:ascii="MyriadPro" w:hAnsi="MyriadPro"/>
          <w:color w:val="212529"/>
        </w:rPr>
        <w:t xml:space="preserve"> tarihli ve 7201 sayılı Tebligat Kanununa göre bildirilir ve tebellüğ belgesi dosyasında saklanır.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İlçe öğrenci davranışlarını değerlendirme kurulunun kuruluşu</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63 –</w:t>
      </w:r>
      <w:r>
        <w:rPr>
          <w:rStyle w:val="apple-converted-space"/>
          <w:rFonts w:ascii="MyriadPro" w:hAnsi="MyriadPro"/>
          <w:color w:val="212529"/>
        </w:rPr>
        <w:t> </w:t>
      </w:r>
      <w:r>
        <w:rPr>
          <w:rFonts w:ascii="MyriadPro" w:hAnsi="MyriadPro"/>
          <w:color w:val="212529"/>
        </w:rPr>
        <w:t>(1)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Tek şube müdürü bulunan ilçelerde kurul, ilçe millî eğitim müdürünün başkanlığında şube müdürü ile ortaokul veya imam-hatip ortaokulu öğrenci davranışlarını değerlendirme kurulu başkanından oluşur.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İlçe öğrenci davranışlarını değerlendirme kurulunun görevleri</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64 –</w:t>
      </w:r>
      <w:r>
        <w:rPr>
          <w:rStyle w:val="apple-converted-space"/>
          <w:rFonts w:ascii="MyriadPro" w:hAnsi="MyriadPro"/>
          <w:color w:val="212529"/>
        </w:rPr>
        <w:t> </w:t>
      </w:r>
      <w:r>
        <w:rPr>
          <w:rFonts w:ascii="MyriadPro" w:hAnsi="MyriadPro"/>
          <w:color w:val="212529"/>
        </w:rPr>
        <w:t>(1)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(2) İlçe öğrenci davranışlarını değerlendirme kurulu;</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a) Okullardan onaylanmak üzere gönderilen öğrenci davranışlarını değerlendirme kurulu kararlarını inceleyerek karara uyar veya değiştirerek İlçe Öğrenci Davranışları Değerlendirme Kurulu Karar Örneği EK-11'i düzenler.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lastRenderedPageBreak/>
        <w:t>b) Okul değiştirilmesine karar verilen öğrencinin naklen gidebileceği okulu belirler.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c) İtirazları inceleyerek verilen kararı değiştirir ya da itirazı reddeder.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Zararın ödetilmesi</w:t>
      </w:r>
    </w:p>
    <w:p w:rsidR="00082A85" w:rsidRDefault="00082A85" w:rsidP="00082A85">
      <w:pPr>
        <w:pStyle w:val="3-normalyaz"/>
        <w:spacing w:before="0" w:after="0" w:line="240" w:lineRule="atLeast"/>
        <w:ind w:firstLine="566"/>
        <w:rPr>
          <w:rFonts w:ascii="MyriadPro" w:hAnsi="MyriadPro"/>
          <w:color w:val="212529"/>
        </w:rPr>
      </w:pPr>
      <w:r>
        <w:rPr>
          <w:rStyle w:val="Gl"/>
          <w:rFonts w:ascii="MyriadPro" w:hAnsi="MyriadPro"/>
          <w:color w:val="212529"/>
        </w:rPr>
        <w:t>MADDE 65 –</w:t>
      </w:r>
      <w:r>
        <w:rPr>
          <w:rStyle w:val="apple-converted-space"/>
          <w:rFonts w:ascii="MyriadPro" w:hAnsi="MyriadPro"/>
          <w:color w:val="212529"/>
        </w:rPr>
        <w:t> </w:t>
      </w:r>
      <w:r>
        <w:rPr>
          <w:rFonts w:ascii="MyriadPro" w:hAnsi="MyriadPro"/>
          <w:color w:val="212529"/>
        </w:rPr>
        <w:t>(1) Okulun ve öğrencilerin mallarına verilen maddi zararlar, o öğrencinin velisine ödettirilir.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(2) Zararın ödenmesinde zorluk çıkaran veliler hakkında, </w:t>
      </w:r>
      <w:proofErr w:type="gramStart"/>
      <w:r>
        <w:rPr>
          <w:rFonts w:ascii="MyriadPro" w:hAnsi="MyriadPro"/>
          <w:color w:val="212529"/>
        </w:rPr>
        <w:t>27/9/2006</w:t>
      </w:r>
      <w:proofErr w:type="gramEnd"/>
      <w:r>
        <w:rPr>
          <w:rFonts w:ascii="MyriadPro" w:hAnsi="MyriadPro"/>
          <w:color w:val="212529"/>
        </w:rPr>
        <w:t xml:space="preserve"> tarihli ve 2006/ 11058 sayılı Bakanlar Kurulu Kararıyla yürürlüğe konulan Kamu Zararlarının Tahsiline İlişkin Usul ve Esaslar Hakkında Yönetmelik hükümlerine göre işlem yapılır.</w:t>
      </w:r>
    </w:p>
    <w:p w:rsidR="00082A85" w:rsidRDefault="00082A85" w:rsidP="00082A85">
      <w:pPr>
        <w:pStyle w:val="3-normalyaz"/>
        <w:spacing w:line="240" w:lineRule="atLeast"/>
        <w:ind w:firstLine="566"/>
        <w:rPr>
          <w:rFonts w:ascii="MyriadPro" w:hAnsi="MyriadPro"/>
          <w:color w:val="212529"/>
        </w:rPr>
      </w:pPr>
      <w:r>
        <w:rPr>
          <w:rFonts w:ascii="MyriadPro" w:hAnsi="MyriadPro"/>
          <w:color w:val="212529"/>
        </w:rPr>
        <w:t xml:space="preserve">                                                                                                          OKUL İDARESİ</w:t>
      </w:r>
    </w:p>
    <w:p w:rsidR="00264119" w:rsidRDefault="00264119"/>
    <w:sectPr w:rsidR="00264119" w:rsidSect="00D36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A85"/>
    <w:rsid w:val="00082A85"/>
    <w:rsid w:val="00264119"/>
    <w:rsid w:val="00304FFA"/>
    <w:rsid w:val="006C2B7E"/>
    <w:rsid w:val="00D3637E"/>
    <w:rsid w:val="00E719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7E"/>
  </w:style>
  <w:style w:type="paragraph" w:styleId="Balk1">
    <w:name w:val="heading 1"/>
    <w:basedOn w:val="Normal"/>
    <w:link w:val="Balk1Char"/>
    <w:uiPriority w:val="9"/>
    <w:qFormat/>
    <w:rsid w:val="00082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082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2A85"/>
    <w:rPr>
      <w:b/>
      <w:bCs/>
    </w:rPr>
  </w:style>
  <w:style w:type="character" w:customStyle="1" w:styleId="apple-converted-space">
    <w:name w:val="apple-converted-space"/>
    <w:basedOn w:val="VarsaylanParagrafYazTipi"/>
    <w:rsid w:val="00082A85"/>
  </w:style>
  <w:style w:type="character" w:customStyle="1" w:styleId="Balk1Char">
    <w:name w:val="Başlık 1 Char"/>
    <w:basedOn w:val="VarsaylanParagrafYazTipi"/>
    <w:link w:val="Balk1"/>
    <w:uiPriority w:val="9"/>
    <w:rsid w:val="00082A85"/>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696854398">
      <w:bodyDiv w:val="1"/>
      <w:marLeft w:val="0"/>
      <w:marRight w:val="0"/>
      <w:marTop w:val="0"/>
      <w:marBottom w:val="0"/>
      <w:divBdr>
        <w:top w:val="none" w:sz="0" w:space="0" w:color="auto"/>
        <w:left w:val="none" w:sz="0" w:space="0" w:color="auto"/>
        <w:bottom w:val="none" w:sz="0" w:space="0" w:color="auto"/>
        <w:right w:val="none" w:sz="0" w:space="0" w:color="auto"/>
      </w:divBdr>
    </w:div>
    <w:div w:id="1353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3029</Words>
  <Characters>17268</Characters>
  <Application>Microsoft Office Word</Application>
  <DocSecurity>0</DocSecurity>
  <Lines>143</Lines>
  <Paragraphs>40</Paragraphs>
  <ScaleCrop>false</ScaleCrop>
  <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Arçelik</dc:creator>
  <cp:lastModifiedBy>Arçelik</cp:lastModifiedBy>
  <cp:revision>3</cp:revision>
  <dcterms:created xsi:type="dcterms:W3CDTF">2022-09-26T07:05:00Z</dcterms:created>
  <dcterms:modified xsi:type="dcterms:W3CDTF">2022-09-26T07:45:00Z</dcterms:modified>
</cp:coreProperties>
</file>